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CellMar>
          <w:left w:w="0" w:type="dxa"/>
          <w:right w:w="0" w:type="dxa"/>
        </w:tblCellMar>
        <w:tblLook w:val="0000" w:firstRow="0" w:lastRow="0" w:firstColumn="0" w:lastColumn="0" w:noHBand="0" w:noVBand="0"/>
      </w:tblPr>
      <w:tblGrid>
        <w:gridCol w:w="440"/>
        <w:gridCol w:w="6920"/>
        <w:gridCol w:w="1040"/>
        <w:gridCol w:w="1240"/>
      </w:tblGrid>
      <w:tr w:rsidR="0020514F" w:rsidRPr="0020514F" w:rsidTr="006B0E1B">
        <w:trPr>
          <w:trHeight w:val="554"/>
        </w:trPr>
        <w:tc>
          <w:tcPr>
            <w:tcW w:w="440" w:type="dxa"/>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shd w:val="clear" w:color="auto" w:fill="auto"/>
            <w:vAlign w:val="bottom"/>
          </w:tcPr>
          <w:p w:rsidR="0020514F" w:rsidRPr="0020514F" w:rsidRDefault="0020514F" w:rsidP="006B0E1B">
            <w:pPr>
              <w:spacing w:line="0" w:lineRule="atLeast"/>
              <w:ind w:left="2880"/>
              <w:rPr>
                <w:rFonts w:ascii="Times New Roman" w:eastAsia="Times New Roman" w:hAnsi="Times New Roman"/>
                <w:b/>
                <w:sz w:val="24"/>
                <w:lang w:val="uk-UA"/>
              </w:rPr>
            </w:pPr>
            <w:r w:rsidRPr="0020514F">
              <w:rPr>
                <w:rFonts w:ascii="Times New Roman" w:eastAsia="Times New Roman" w:hAnsi="Times New Roman"/>
                <w:b/>
                <w:sz w:val="24"/>
                <w:lang w:val="uk-UA"/>
              </w:rPr>
              <w:t>Анкета аудиторської фірми</w:t>
            </w:r>
          </w:p>
        </w:tc>
        <w:tc>
          <w:tcPr>
            <w:tcW w:w="1040" w:type="dxa"/>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79"/>
        </w:trPr>
        <w:tc>
          <w:tcPr>
            <w:tcW w:w="440" w:type="dxa"/>
            <w:tcBorders>
              <w:bottom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bottom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040" w:type="dxa"/>
            <w:tcBorders>
              <w:bottom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bottom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58"/>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258" w:lineRule="exact"/>
              <w:jc w:val="center"/>
              <w:rPr>
                <w:rFonts w:ascii="Times New Roman" w:eastAsia="Times New Roman" w:hAnsi="Times New Roman"/>
                <w:w w:val="95"/>
                <w:sz w:val="24"/>
                <w:lang w:val="uk-UA"/>
              </w:rPr>
            </w:pPr>
            <w:r w:rsidRPr="0020514F">
              <w:rPr>
                <w:rFonts w:ascii="Times New Roman" w:eastAsia="Times New Roman" w:hAnsi="Times New Roman"/>
                <w:w w:val="95"/>
                <w:sz w:val="24"/>
                <w:lang w:val="uk-UA"/>
              </w:rPr>
              <w:t>№</w:t>
            </w:r>
          </w:p>
        </w:tc>
        <w:tc>
          <w:tcPr>
            <w:tcW w:w="6920" w:type="dxa"/>
            <w:vMerge w:val="restart"/>
            <w:tcBorders>
              <w:right w:val="single" w:sz="8" w:space="0" w:color="auto"/>
            </w:tcBorders>
            <w:shd w:val="clear" w:color="auto" w:fill="auto"/>
            <w:vAlign w:val="bottom"/>
          </w:tcPr>
          <w:p w:rsidR="0020514F" w:rsidRPr="0020514F" w:rsidRDefault="0020514F" w:rsidP="006B0E1B">
            <w:pPr>
              <w:spacing w:line="0" w:lineRule="atLeast"/>
              <w:ind w:left="3040"/>
              <w:rPr>
                <w:rFonts w:ascii="Times New Roman" w:eastAsia="Times New Roman" w:hAnsi="Times New Roman"/>
                <w:sz w:val="24"/>
                <w:lang w:val="uk-UA"/>
              </w:rPr>
            </w:pPr>
            <w:r w:rsidRPr="0020514F">
              <w:rPr>
                <w:rFonts w:ascii="Times New Roman" w:eastAsia="Times New Roman" w:hAnsi="Times New Roman"/>
                <w:sz w:val="24"/>
                <w:lang w:val="uk-UA"/>
              </w:rPr>
              <w:t>Питання</w:t>
            </w:r>
          </w:p>
        </w:tc>
        <w:tc>
          <w:tcPr>
            <w:tcW w:w="1040" w:type="dxa"/>
            <w:tcBorders>
              <w:right w:val="single" w:sz="8" w:space="0" w:color="auto"/>
            </w:tcBorders>
            <w:shd w:val="clear" w:color="auto" w:fill="auto"/>
            <w:vAlign w:val="bottom"/>
          </w:tcPr>
          <w:p w:rsidR="0020514F" w:rsidRPr="0020514F" w:rsidRDefault="0020514F" w:rsidP="006B0E1B">
            <w:pPr>
              <w:spacing w:line="258" w:lineRule="exact"/>
              <w:jc w:val="center"/>
              <w:rPr>
                <w:rFonts w:ascii="Times New Roman" w:eastAsia="Times New Roman" w:hAnsi="Times New Roman"/>
                <w:w w:val="97"/>
                <w:sz w:val="24"/>
                <w:lang w:val="uk-UA"/>
              </w:rPr>
            </w:pPr>
            <w:r w:rsidRPr="0020514F">
              <w:rPr>
                <w:rFonts w:ascii="Times New Roman" w:eastAsia="Times New Roman" w:hAnsi="Times New Roman"/>
                <w:w w:val="97"/>
                <w:sz w:val="24"/>
                <w:lang w:val="uk-UA"/>
              </w:rPr>
              <w:t>Відповідь</w:t>
            </w:r>
          </w:p>
        </w:tc>
        <w:tc>
          <w:tcPr>
            <w:tcW w:w="1240" w:type="dxa"/>
            <w:tcBorders>
              <w:right w:val="single" w:sz="8" w:space="0" w:color="auto"/>
            </w:tcBorders>
            <w:shd w:val="clear" w:color="auto" w:fill="auto"/>
            <w:vAlign w:val="bottom"/>
          </w:tcPr>
          <w:p w:rsidR="0020514F" w:rsidRPr="0020514F" w:rsidRDefault="0020514F" w:rsidP="006B0E1B">
            <w:pPr>
              <w:spacing w:line="258" w:lineRule="exact"/>
              <w:jc w:val="center"/>
              <w:rPr>
                <w:rFonts w:ascii="Times New Roman" w:eastAsia="Times New Roman" w:hAnsi="Times New Roman"/>
                <w:sz w:val="24"/>
                <w:lang w:val="uk-UA"/>
              </w:rPr>
            </w:pPr>
            <w:r w:rsidRPr="0020514F">
              <w:rPr>
                <w:rFonts w:ascii="Times New Roman" w:eastAsia="Times New Roman" w:hAnsi="Times New Roman"/>
                <w:sz w:val="24"/>
                <w:lang w:val="uk-UA"/>
              </w:rPr>
              <w:t>Коментар,</w:t>
            </w:r>
          </w:p>
        </w:tc>
      </w:tr>
      <w:tr w:rsidR="0020514F" w:rsidRPr="0020514F" w:rsidTr="006B0E1B">
        <w:trPr>
          <w:trHeight w:val="274"/>
        </w:trPr>
        <w:tc>
          <w:tcPr>
            <w:tcW w:w="440" w:type="dxa"/>
            <w:vMerge w:val="restart"/>
            <w:tcBorders>
              <w:left w:val="single" w:sz="8" w:space="0" w:color="auto"/>
              <w:right w:val="single" w:sz="8" w:space="0" w:color="auto"/>
            </w:tcBorders>
            <w:shd w:val="clear" w:color="auto" w:fill="auto"/>
            <w:vAlign w:val="bottom"/>
          </w:tcPr>
          <w:p w:rsidR="0020514F" w:rsidRPr="0020514F" w:rsidRDefault="0020514F" w:rsidP="006B0E1B">
            <w:pPr>
              <w:spacing w:line="274" w:lineRule="exact"/>
              <w:jc w:val="center"/>
              <w:rPr>
                <w:rFonts w:ascii="Times New Roman" w:eastAsia="Times New Roman" w:hAnsi="Times New Roman"/>
                <w:sz w:val="24"/>
                <w:lang w:val="uk-UA"/>
              </w:rPr>
            </w:pPr>
            <w:r w:rsidRPr="0020514F">
              <w:rPr>
                <w:rFonts w:ascii="Times New Roman" w:eastAsia="Times New Roman" w:hAnsi="Times New Roman"/>
                <w:sz w:val="24"/>
                <w:lang w:val="uk-UA"/>
              </w:rPr>
              <w:t>з/п</w:t>
            </w:r>
          </w:p>
        </w:tc>
        <w:tc>
          <w:tcPr>
            <w:tcW w:w="6920" w:type="dxa"/>
            <w:vMerge/>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11"/>
                <w:lang w:val="uk-UA"/>
              </w:rPr>
            </w:pPr>
          </w:p>
        </w:tc>
        <w:tc>
          <w:tcPr>
            <w:tcW w:w="1040" w:type="dxa"/>
            <w:vMerge w:val="restart"/>
            <w:tcBorders>
              <w:right w:val="single" w:sz="8" w:space="0" w:color="auto"/>
            </w:tcBorders>
            <w:shd w:val="clear" w:color="auto" w:fill="auto"/>
            <w:vAlign w:val="bottom"/>
          </w:tcPr>
          <w:p w:rsidR="0020514F" w:rsidRPr="0020514F" w:rsidRDefault="0020514F" w:rsidP="006B0E1B">
            <w:pPr>
              <w:spacing w:line="274" w:lineRule="exact"/>
              <w:jc w:val="center"/>
              <w:rPr>
                <w:rFonts w:ascii="Times New Roman" w:eastAsia="Times New Roman" w:hAnsi="Times New Roman"/>
                <w:sz w:val="24"/>
                <w:lang w:val="uk-UA"/>
              </w:rPr>
            </w:pPr>
            <w:r w:rsidRPr="0020514F">
              <w:rPr>
                <w:rFonts w:ascii="Times New Roman" w:eastAsia="Times New Roman" w:hAnsi="Times New Roman"/>
                <w:sz w:val="24"/>
                <w:lang w:val="uk-UA"/>
              </w:rPr>
              <w:t>(так/ні)</w:t>
            </w:r>
          </w:p>
        </w:tc>
        <w:tc>
          <w:tcPr>
            <w:tcW w:w="1240" w:type="dxa"/>
            <w:vMerge w:val="restart"/>
            <w:tcBorders>
              <w:right w:val="single" w:sz="8" w:space="0" w:color="auto"/>
            </w:tcBorders>
            <w:shd w:val="clear" w:color="auto" w:fill="auto"/>
            <w:vAlign w:val="bottom"/>
          </w:tcPr>
          <w:p w:rsidR="0020514F" w:rsidRPr="0020514F" w:rsidRDefault="0020514F" w:rsidP="006B0E1B">
            <w:pPr>
              <w:spacing w:line="274" w:lineRule="exact"/>
              <w:jc w:val="center"/>
              <w:rPr>
                <w:rFonts w:ascii="Times New Roman" w:eastAsia="Times New Roman" w:hAnsi="Times New Roman"/>
                <w:w w:val="99"/>
                <w:sz w:val="24"/>
                <w:lang w:val="uk-UA"/>
              </w:rPr>
            </w:pPr>
            <w:r w:rsidRPr="0020514F">
              <w:rPr>
                <w:rFonts w:ascii="Times New Roman" w:eastAsia="Times New Roman" w:hAnsi="Times New Roman"/>
                <w:w w:val="99"/>
                <w:sz w:val="24"/>
                <w:lang w:val="uk-UA"/>
              </w:rPr>
              <w:t>якщо «так»</w:t>
            </w:r>
          </w:p>
        </w:tc>
      </w:tr>
      <w:tr w:rsidR="0020514F" w:rsidRPr="0020514F" w:rsidTr="006B0E1B">
        <w:trPr>
          <w:trHeight w:val="142"/>
        </w:trPr>
        <w:tc>
          <w:tcPr>
            <w:tcW w:w="440" w:type="dxa"/>
            <w:vMerge/>
            <w:tcBorders>
              <w:left w:val="single" w:sz="8" w:space="0" w:color="auto"/>
              <w:bottom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12"/>
                <w:lang w:val="uk-UA"/>
              </w:rPr>
            </w:pPr>
          </w:p>
        </w:tc>
        <w:tc>
          <w:tcPr>
            <w:tcW w:w="6920" w:type="dxa"/>
            <w:tcBorders>
              <w:bottom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12"/>
                <w:lang w:val="uk-UA"/>
              </w:rPr>
            </w:pPr>
          </w:p>
        </w:tc>
        <w:tc>
          <w:tcPr>
            <w:tcW w:w="1040" w:type="dxa"/>
            <w:vMerge/>
            <w:tcBorders>
              <w:bottom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12"/>
                <w:lang w:val="uk-UA"/>
              </w:rPr>
            </w:pPr>
          </w:p>
        </w:tc>
        <w:tc>
          <w:tcPr>
            <w:tcW w:w="1240" w:type="dxa"/>
            <w:vMerge/>
            <w:tcBorders>
              <w:bottom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12"/>
                <w:lang w:val="uk-UA"/>
              </w:rPr>
            </w:pPr>
          </w:p>
        </w:tc>
      </w:tr>
      <w:tr w:rsidR="0020514F" w:rsidRPr="0020514F" w:rsidTr="006B0E1B">
        <w:trPr>
          <w:trHeight w:val="816"/>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1.</w:t>
            </w:r>
          </w:p>
        </w:tc>
        <w:tc>
          <w:tcPr>
            <w:tcW w:w="920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258"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Суб’єкт аудиторської діяльності, його ключові партнери з аудиту, його власники</w:t>
            </w:r>
          </w:p>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(засновники, учасники), посадові особи і працівники та інші особи, залучені до</w:t>
            </w:r>
          </w:p>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надання таких послуг, а також близькі родичі та члени сім’ї зазначених осіб:</w:t>
            </w:r>
          </w:p>
        </w:tc>
      </w:tr>
      <w:tr w:rsidR="0020514F" w:rsidRPr="0020514F" w:rsidTr="006B0E1B">
        <w:trPr>
          <w:trHeight w:val="264"/>
        </w:trPr>
        <w:tc>
          <w:tcPr>
            <w:tcW w:w="440" w:type="dxa"/>
            <w:vMerge w:val="restart"/>
            <w:tcBorders>
              <w:top w:val="single" w:sz="4" w:space="0" w:color="auto"/>
              <w:left w:val="single" w:sz="8" w:space="0" w:color="auto"/>
              <w:right w:val="single" w:sz="8" w:space="0" w:color="auto"/>
            </w:tcBorders>
            <w:shd w:val="clear" w:color="auto" w:fill="auto"/>
            <w:vAlign w:val="bottom"/>
          </w:tcPr>
          <w:p w:rsidR="0020514F" w:rsidRPr="0020514F" w:rsidRDefault="0020514F" w:rsidP="006B0E1B">
            <w:pPr>
              <w:spacing w:line="264"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1.1.</w:t>
            </w:r>
          </w:p>
        </w:tc>
        <w:tc>
          <w:tcPr>
            <w:tcW w:w="6920" w:type="dxa"/>
            <w:tcBorders>
              <w:top w:val="single" w:sz="4" w:space="0" w:color="auto"/>
              <w:right w:val="single" w:sz="8" w:space="0" w:color="auto"/>
            </w:tcBorders>
            <w:shd w:val="clear" w:color="auto" w:fill="auto"/>
            <w:vAlign w:val="bottom"/>
          </w:tcPr>
          <w:p w:rsidR="0020514F" w:rsidRPr="0020514F" w:rsidRDefault="0020514F" w:rsidP="006B0E1B">
            <w:pPr>
              <w:spacing w:line="264"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є власниками фінансових інструментів, емітованих Банком або</w:t>
            </w:r>
          </w:p>
        </w:tc>
        <w:tc>
          <w:tcPr>
            <w:tcW w:w="1040" w:type="dxa"/>
            <w:tcBorders>
              <w:top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top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277"/>
        </w:trPr>
        <w:tc>
          <w:tcPr>
            <w:tcW w:w="440" w:type="dxa"/>
            <w:vMerge/>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юридичної особи, пов’язаної з Банком спільною власністю,</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bookmarkStart w:id="0" w:name="_GoBack"/>
            <w:bookmarkEnd w:id="0"/>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76"/>
        </w:trPr>
        <w:tc>
          <w:tcPr>
            <w:tcW w:w="440" w:type="dxa"/>
            <w:vMerge/>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фінансова звітність якої підлягає перевірці, або юридичної</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76"/>
        </w:trPr>
        <w:tc>
          <w:tcPr>
            <w:tcW w:w="440" w:type="dxa"/>
            <w:vMerge/>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особи, пов’язаної з Банком спільною власністю, контролем та</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76"/>
        </w:trPr>
        <w:tc>
          <w:tcPr>
            <w:tcW w:w="440" w:type="dxa"/>
            <w:vMerge/>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управлінням, крім тих, що належать Банку опосередковано через</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76"/>
        </w:trPr>
        <w:tc>
          <w:tcPr>
            <w:tcW w:w="440" w:type="dxa"/>
            <w:vMerge/>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інститути спільного інвестування?</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48"/>
        </w:trPr>
        <w:tc>
          <w:tcPr>
            <w:tcW w:w="440" w:type="dxa"/>
            <w:tcBorders>
              <w:left w:val="single" w:sz="8" w:space="0" w:color="auto"/>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4"/>
                <w:lang w:val="uk-UA"/>
              </w:rPr>
            </w:pPr>
          </w:p>
        </w:tc>
        <w:tc>
          <w:tcPr>
            <w:tcW w:w="692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4"/>
                <w:lang w:val="uk-UA"/>
              </w:rPr>
            </w:pPr>
          </w:p>
        </w:tc>
        <w:tc>
          <w:tcPr>
            <w:tcW w:w="10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4"/>
                <w:lang w:val="uk-UA"/>
              </w:rPr>
            </w:pPr>
          </w:p>
        </w:tc>
        <w:tc>
          <w:tcPr>
            <w:tcW w:w="12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4"/>
                <w:lang w:val="uk-UA"/>
              </w:rPr>
            </w:pPr>
          </w:p>
        </w:tc>
      </w:tr>
      <w:tr w:rsidR="0020514F" w:rsidRPr="0020514F" w:rsidTr="006B0E1B">
        <w:trPr>
          <w:trHeight w:val="258"/>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1.2.</w:t>
            </w:r>
          </w:p>
        </w:tc>
        <w:tc>
          <w:tcPr>
            <w:tcW w:w="6920" w:type="dxa"/>
            <w:tcBorders>
              <w:right w:val="single" w:sz="8" w:space="0" w:color="auto"/>
            </w:tcBorders>
            <w:shd w:val="clear" w:color="auto" w:fill="auto"/>
            <w:vAlign w:val="bottom"/>
          </w:tcPr>
          <w:p w:rsidR="0020514F" w:rsidRPr="0020514F" w:rsidRDefault="0020514F" w:rsidP="006B0E1B">
            <w:pPr>
              <w:spacing w:line="258"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беруть участь в операціях з фінансовими інструментами,</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276"/>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емітованими, гарантованими або іншим чином підтримуваними</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76"/>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Банком, крім операцій в межах інститутів спільного</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85"/>
        </w:trPr>
        <w:tc>
          <w:tcPr>
            <w:tcW w:w="440" w:type="dxa"/>
            <w:tcBorders>
              <w:left w:val="single" w:sz="8" w:space="0" w:color="auto"/>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інвестування?</w:t>
            </w:r>
          </w:p>
        </w:tc>
        <w:tc>
          <w:tcPr>
            <w:tcW w:w="10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67"/>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266"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1.3.</w:t>
            </w:r>
          </w:p>
        </w:tc>
        <w:tc>
          <w:tcPr>
            <w:tcW w:w="6920" w:type="dxa"/>
            <w:tcBorders>
              <w:right w:val="single" w:sz="8" w:space="0" w:color="auto"/>
            </w:tcBorders>
            <w:shd w:val="clear" w:color="auto" w:fill="auto"/>
            <w:vAlign w:val="bottom"/>
          </w:tcPr>
          <w:p w:rsidR="0020514F" w:rsidRPr="0020514F" w:rsidRDefault="0020514F" w:rsidP="006B0E1B">
            <w:pPr>
              <w:spacing w:line="266"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перебували протягом періодів, зазначених у частині першій</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3"/>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3"/>
                <w:lang w:val="uk-UA"/>
              </w:rPr>
            </w:pPr>
          </w:p>
        </w:tc>
      </w:tr>
      <w:tr w:rsidR="0020514F" w:rsidRPr="0020514F" w:rsidTr="006B0E1B">
        <w:trPr>
          <w:trHeight w:val="276"/>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статті 10 Закону про аудит, у трудових, договірних або інших</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76"/>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відносинах з Банком, що можуть призвести до конфлікту</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76"/>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інтересів?</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34"/>
        </w:trPr>
        <w:tc>
          <w:tcPr>
            <w:tcW w:w="440" w:type="dxa"/>
            <w:tcBorders>
              <w:left w:val="single" w:sz="8" w:space="0" w:color="auto"/>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
                <w:lang w:val="uk-UA"/>
              </w:rPr>
            </w:pPr>
          </w:p>
        </w:tc>
        <w:tc>
          <w:tcPr>
            <w:tcW w:w="692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
                <w:lang w:val="uk-UA"/>
              </w:rPr>
            </w:pPr>
          </w:p>
        </w:tc>
        <w:tc>
          <w:tcPr>
            <w:tcW w:w="10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
                <w:lang w:val="uk-UA"/>
              </w:rPr>
            </w:pPr>
          </w:p>
        </w:tc>
        <w:tc>
          <w:tcPr>
            <w:tcW w:w="12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
                <w:lang w:val="uk-UA"/>
              </w:rPr>
            </w:pPr>
          </w:p>
        </w:tc>
      </w:tr>
      <w:tr w:rsidR="0020514F" w:rsidRPr="0020514F" w:rsidTr="006B0E1B">
        <w:trPr>
          <w:trHeight w:val="258"/>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2.</w:t>
            </w:r>
          </w:p>
        </w:tc>
        <w:tc>
          <w:tcPr>
            <w:tcW w:w="9200" w:type="dxa"/>
            <w:gridSpan w:val="3"/>
            <w:tcBorders>
              <w:right w:val="single" w:sz="8" w:space="0" w:color="auto"/>
            </w:tcBorders>
            <w:shd w:val="clear" w:color="auto" w:fill="auto"/>
            <w:vAlign w:val="bottom"/>
          </w:tcPr>
          <w:p w:rsidR="0020514F" w:rsidRPr="0020514F" w:rsidRDefault="0020514F" w:rsidP="006B0E1B">
            <w:pPr>
              <w:spacing w:line="258"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Аудитор, ключовий партнер з аудиту, посадові особи і працівники суб’єкта</w:t>
            </w:r>
          </w:p>
        </w:tc>
      </w:tr>
      <w:tr w:rsidR="0020514F" w:rsidRPr="0020514F" w:rsidTr="006B0E1B">
        <w:trPr>
          <w:trHeight w:val="276"/>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9200" w:type="dxa"/>
            <w:gridSpan w:val="3"/>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аудиторської діяльності та інші залучені особи, які брали участь у наданні послуг з</w:t>
            </w:r>
          </w:p>
        </w:tc>
      </w:tr>
      <w:tr w:rsidR="0020514F" w:rsidRPr="0020514F" w:rsidTr="006B0E1B">
        <w:trPr>
          <w:trHeight w:val="276"/>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9200" w:type="dxa"/>
            <w:gridSpan w:val="3"/>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обов’язкового аудиту фінансової звітності, протягом щонайменше одного року, а у разі</w:t>
            </w:r>
          </w:p>
        </w:tc>
      </w:tr>
      <w:tr w:rsidR="0020514F" w:rsidRPr="0020514F" w:rsidTr="006B0E1B">
        <w:trPr>
          <w:trHeight w:val="276"/>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9200" w:type="dxa"/>
            <w:gridSpan w:val="3"/>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проведення обов’язкового аудиту фінансової звітності Банку - протягом щонайменше</w:t>
            </w:r>
          </w:p>
        </w:tc>
      </w:tr>
      <w:tr w:rsidR="0020514F" w:rsidRPr="0020514F" w:rsidTr="006B0E1B">
        <w:trPr>
          <w:trHeight w:val="276"/>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двох років після надання відповідних послуг:</w:t>
            </w:r>
          </w:p>
        </w:tc>
        <w:tc>
          <w:tcPr>
            <w:tcW w:w="1040" w:type="dxa"/>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58"/>
        </w:trPr>
        <w:tc>
          <w:tcPr>
            <w:tcW w:w="440" w:type="dxa"/>
            <w:tcBorders>
              <w:left w:val="single" w:sz="8" w:space="0" w:color="auto"/>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5"/>
                <w:lang w:val="uk-UA"/>
              </w:rPr>
            </w:pPr>
          </w:p>
        </w:tc>
        <w:tc>
          <w:tcPr>
            <w:tcW w:w="6920" w:type="dxa"/>
            <w:tcBorders>
              <w:bottom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5"/>
                <w:lang w:val="uk-UA"/>
              </w:rPr>
            </w:pPr>
          </w:p>
        </w:tc>
        <w:tc>
          <w:tcPr>
            <w:tcW w:w="1040" w:type="dxa"/>
            <w:tcBorders>
              <w:bottom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5"/>
                <w:lang w:val="uk-UA"/>
              </w:rPr>
            </w:pPr>
          </w:p>
        </w:tc>
        <w:tc>
          <w:tcPr>
            <w:tcW w:w="12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5"/>
                <w:lang w:val="uk-UA"/>
              </w:rPr>
            </w:pPr>
          </w:p>
        </w:tc>
      </w:tr>
      <w:tr w:rsidR="0020514F" w:rsidRPr="0020514F" w:rsidTr="006B0E1B">
        <w:trPr>
          <w:trHeight w:val="262"/>
        </w:trPr>
        <w:tc>
          <w:tcPr>
            <w:tcW w:w="440" w:type="dxa"/>
            <w:tcBorders>
              <w:left w:val="single" w:sz="8" w:space="0" w:color="auto"/>
              <w:bottom w:val="single" w:sz="8" w:space="0" w:color="auto"/>
              <w:right w:val="single" w:sz="8" w:space="0" w:color="auto"/>
            </w:tcBorders>
            <w:shd w:val="clear" w:color="auto" w:fill="auto"/>
            <w:vAlign w:val="bottom"/>
          </w:tcPr>
          <w:p w:rsidR="0020514F" w:rsidRPr="0020514F" w:rsidRDefault="0020514F" w:rsidP="006B0E1B">
            <w:pPr>
              <w:spacing w:line="262"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2.1.</w:t>
            </w:r>
          </w:p>
        </w:tc>
        <w:tc>
          <w:tcPr>
            <w:tcW w:w="6920" w:type="dxa"/>
            <w:tcBorders>
              <w:bottom w:val="single" w:sz="8" w:space="0" w:color="auto"/>
              <w:right w:val="single" w:sz="8" w:space="0" w:color="auto"/>
            </w:tcBorders>
            <w:shd w:val="clear" w:color="auto" w:fill="auto"/>
            <w:vAlign w:val="bottom"/>
          </w:tcPr>
          <w:p w:rsidR="0020514F" w:rsidRPr="0020514F" w:rsidRDefault="0020514F" w:rsidP="006B0E1B">
            <w:pPr>
              <w:spacing w:line="262"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обіймали керівні посади в органі управління Банку?</w:t>
            </w:r>
          </w:p>
        </w:tc>
        <w:tc>
          <w:tcPr>
            <w:tcW w:w="10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255"/>
        </w:trPr>
        <w:tc>
          <w:tcPr>
            <w:tcW w:w="440" w:type="dxa"/>
            <w:tcBorders>
              <w:left w:val="single" w:sz="8" w:space="0" w:color="auto"/>
              <w:bottom w:val="single" w:sz="8" w:space="0" w:color="auto"/>
              <w:right w:val="single" w:sz="8" w:space="0" w:color="auto"/>
            </w:tcBorders>
            <w:shd w:val="clear" w:color="auto" w:fill="auto"/>
            <w:vAlign w:val="bottom"/>
          </w:tcPr>
          <w:p w:rsidR="0020514F" w:rsidRPr="0020514F" w:rsidRDefault="0020514F" w:rsidP="006B0E1B">
            <w:pPr>
              <w:spacing w:line="255"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2.2.</w:t>
            </w:r>
          </w:p>
        </w:tc>
        <w:tc>
          <w:tcPr>
            <w:tcW w:w="6920" w:type="dxa"/>
            <w:tcBorders>
              <w:bottom w:val="single" w:sz="8" w:space="0" w:color="auto"/>
              <w:right w:val="single" w:sz="8" w:space="0" w:color="auto"/>
            </w:tcBorders>
            <w:shd w:val="clear" w:color="auto" w:fill="auto"/>
            <w:vAlign w:val="bottom"/>
          </w:tcPr>
          <w:p w:rsidR="0020514F" w:rsidRPr="0020514F" w:rsidRDefault="0020514F" w:rsidP="006B0E1B">
            <w:pPr>
              <w:spacing w:line="255"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призначалися членом аудиторського комітету Банку?</w:t>
            </w:r>
          </w:p>
        </w:tc>
        <w:tc>
          <w:tcPr>
            <w:tcW w:w="10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258"/>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2.3.</w:t>
            </w:r>
          </w:p>
        </w:tc>
        <w:tc>
          <w:tcPr>
            <w:tcW w:w="6920" w:type="dxa"/>
            <w:tcBorders>
              <w:right w:val="single" w:sz="8" w:space="0" w:color="auto"/>
            </w:tcBorders>
            <w:shd w:val="clear" w:color="auto" w:fill="auto"/>
            <w:vAlign w:val="bottom"/>
          </w:tcPr>
          <w:p w:rsidR="0020514F" w:rsidRPr="0020514F" w:rsidRDefault="0020514F" w:rsidP="006B0E1B">
            <w:pPr>
              <w:spacing w:line="258"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призначалися (були обраними) членом адміністративного або</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285"/>
        </w:trPr>
        <w:tc>
          <w:tcPr>
            <w:tcW w:w="440" w:type="dxa"/>
            <w:tcBorders>
              <w:left w:val="single" w:sz="8" w:space="0" w:color="auto"/>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наглядового органу Банку?</w:t>
            </w:r>
          </w:p>
        </w:tc>
        <w:tc>
          <w:tcPr>
            <w:tcW w:w="10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67"/>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266"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3.</w:t>
            </w:r>
          </w:p>
        </w:tc>
        <w:tc>
          <w:tcPr>
            <w:tcW w:w="9200" w:type="dxa"/>
            <w:gridSpan w:val="3"/>
            <w:tcBorders>
              <w:right w:val="single" w:sz="8" w:space="0" w:color="auto"/>
            </w:tcBorders>
            <w:shd w:val="clear" w:color="auto" w:fill="auto"/>
            <w:vAlign w:val="bottom"/>
          </w:tcPr>
          <w:p w:rsidR="0020514F" w:rsidRPr="0020514F" w:rsidRDefault="0020514F" w:rsidP="006B0E1B">
            <w:pPr>
              <w:spacing w:line="266"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Чи виконуються вимоги Закону про аудит щодо обмеження на одночасне надання</w:t>
            </w:r>
          </w:p>
        </w:tc>
      </w:tr>
      <w:tr w:rsidR="0020514F" w:rsidRPr="0020514F" w:rsidTr="006B0E1B">
        <w:trPr>
          <w:trHeight w:val="277"/>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9200" w:type="dxa"/>
            <w:gridSpan w:val="3"/>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Банку послуг з обов’язкового аудиту фінансової звітності та таких неаудиторських</w:t>
            </w:r>
          </w:p>
        </w:tc>
      </w:tr>
      <w:tr w:rsidR="0020514F" w:rsidRPr="0020514F" w:rsidTr="006B0E1B">
        <w:trPr>
          <w:trHeight w:val="281"/>
        </w:trPr>
        <w:tc>
          <w:tcPr>
            <w:tcW w:w="440" w:type="dxa"/>
            <w:tcBorders>
              <w:left w:val="single" w:sz="8" w:space="0" w:color="auto"/>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bottom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послуг:</w:t>
            </w:r>
          </w:p>
        </w:tc>
        <w:tc>
          <w:tcPr>
            <w:tcW w:w="1040" w:type="dxa"/>
            <w:tcBorders>
              <w:bottom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65"/>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265"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3.1.</w:t>
            </w:r>
          </w:p>
        </w:tc>
        <w:tc>
          <w:tcPr>
            <w:tcW w:w="6920" w:type="dxa"/>
            <w:tcBorders>
              <w:right w:val="single" w:sz="8" w:space="0" w:color="auto"/>
            </w:tcBorders>
            <w:shd w:val="clear" w:color="auto" w:fill="auto"/>
            <w:vAlign w:val="bottom"/>
          </w:tcPr>
          <w:p w:rsidR="0020514F" w:rsidRPr="0020514F" w:rsidRDefault="0020514F" w:rsidP="006B0E1B">
            <w:pPr>
              <w:spacing w:line="265"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складання податкової звітності, розрахунку обов’язкових</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3"/>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3"/>
                <w:lang w:val="uk-UA"/>
              </w:rPr>
            </w:pPr>
          </w:p>
        </w:tc>
      </w:tr>
      <w:tr w:rsidR="0020514F" w:rsidRPr="0020514F" w:rsidTr="006B0E1B">
        <w:trPr>
          <w:trHeight w:val="276"/>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6920" w:type="dxa"/>
            <w:tcBorders>
              <w:right w:val="single" w:sz="8" w:space="0" w:color="auto"/>
            </w:tcBorders>
            <w:shd w:val="clear" w:color="auto" w:fill="auto"/>
            <w:vAlign w:val="bottom"/>
          </w:tcPr>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зборів і платежів, представництва юридичних осіб у спорах із</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p>
        </w:tc>
      </w:tr>
      <w:tr w:rsidR="0020514F" w:rsidRPr="0020514F" w:rsidTr="006B0E1B">
        <w:trPr>
          <w:trHeight w:val="252"/>
        </w:trPr>
        <w:tc>
          <w:tcPr>
            <w:tcW w:w="440" w:type="dxa"/>
            <w:tcBorders>
              <w:left w:val="single" w:sz="8" w:space="0" w:color="auto"/>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1"/>
                <w:lang w:val="uk-UA"/>
              </w:rPr>
            </w:pPr>
          </w:p>
        </w:tc>
        <w:tc>
          <w:tcPr>
            <w:tcW w:w="6920" w:type="dxa"/>
            <w:tcBorders>
              <w:bottom w:val="single" w:sz="8" w:space="0" w:color="auto"/>
              <w:right w:val="single" w:sz="8" w:space="0" w:color="auto"/>
            </w:tcBorders>
            <w:shd w:val="clear" w:color="auto" w:fill="auto"/>
            <w:vAlign w:val="bottom"/>
          </w:tcPr>
          <w:p w:rsidR="0020514F" w:rsidRPr="0020514F" w:rsidRDefault="0020514F" w:rsidP="006B0E1B">
            <w:pPr>
              <w:spacing w:line="252"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зазначених питань?</w:t>
            </w:r>
          </w:p>
        </w:tc>
        <w:tc>
          <w:tcPr>
            <w:tcW w:w="10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1"/>
                <w:lang w:val="uk-UA"/>
              </w:rPr>
            </w:pPr>
          </w:p>
        </w:tc>
        <w:tc>
          <w:tcPr>
            <w:tcW w:w="12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1"/>
                <w:lang w:val="uk-UA"/>
              </w:rPr>
            </w:pPr>
          </w:p>
        </w:tc>
      </w:tr>
      <w:tr w:rsidR="0020514F" w:rsidRPr="0020514F" w:rsidTr="006B0E1B">
        <w:trPr>
          <w:trHeight w:val="258"/>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3.2.</w:t>
            </w:r>
          </w:p>
        </w:tc>
        <w:tc>
          <w:tcPr>
            <w:tcW w:w="6920" w:type="dxa"/>
            <w:tcBorders>
              <w:right w:val="single" w:sz="8" w:space="0" w:color="auto"/>
            </w:tcBorders>
            <w:shd w:val="clear" w:color="auto" w:fill="auto"/>
            <w:vAlign w:val="bottom"/>
          </w:tcPr>
          <w:p w:rsidR="0020514F" w:rsidRPr="0020514F" w:rsidRDefault="0020514F" w:rsidP="006B0E1B">
            <w:pPr>
              <w:spacing w:line="258"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консультування з питань управління, розробки і</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260"/>
        </w:trPr>
        <w:tc>
          <w:tcPr>
            <w:tcW w:w="440" w:type="dxa"/>
            <w:tcBorders>
              <w:left w:val="single" w:sz="8" w:space="0" w:color="auto"/>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6920" w:type="dxa"/>
            <w:tcBorders>
              <w:bottom w:val="single" w:sz="8" w:space="0" w:color="auto"/>
              <w:right w:val="single" w:sz="8" w:space="0" w:color="auto"/>
            </w:tcBorders>
            <w:shd w:val="clear" w:color="auto" w:fill="auto"/>
            <w:vAlign w:val="bottom"/>
          </w:tcPr>
          <w:p w:rsidR="0020514F" w:rsidRPr="0020514F" w:rsidRDefault="0020514F" w:rsidP="006B0E1B">
            <w:pPr>
              <w:spacing w:line="259"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супроводження управлінських рішень?</w:t>
            </w:r>
          </w:p>
        </w:tc>
        <w:tc>
          <w:tcPr>
            <w:tcW w:w="10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258"/>
        </w:trPr>
        <w:tc>
          <w:tcPr>
            <w:tcW w:w="440" w:type="dxa"/>
            <w:tcBorders>
              <w:left w:val="single" w:sz="8" w:space="0" w:color="auto"/>
              <w:right w:val="single" w:sz="8"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3.3.</w:t>
            </w:r>
          </w:p>
        </w:tc>
        <w:tc>
          <w:tcPr>
            <w:tcW w:w="6920" w:type="dxa"/>
            <w:tcBorders>
              <w:right w:val="single" w:sz="8" w:space="0" w:color="auto"/>
            </w:tcBorders>
            <w:shd w:val="clear" w:color="auto" w:fill="auto"/>
            <w:vAlign w:val="bottom"/>
          </w:tcPr>
          <w:p w:rsidR="0020514F" w:rsidRPr="0020514F" w:rsidRDefault="0020514F" w:rsidP="006B0E1B">
            <w:pPr>
              <w:spacing w:line="258"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ведення бухгалтерського обліку і складання фінансової</w:t>
            </w:r>
          </w:p>
        </w:tc>
        <w:tc>
          <w:tcPr>
            <w:tcW w:w="10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264"/>
        </w:trPr>
        <w:tc>
          <w:tcPr>
            <w:tcW w:w="440" w:type="dxa"/>
            <w:tcBorders>
              <w:left w:val="single" w:sz="8" w:space="0" w:color="auto"/>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6920" w:type="dxa"/>
            <w:tcBorders>
              <w:bottom w:val="single" w:sz="8" w:space="0" w:color="auto"/>
              <w:right w:val="single" w:sz="8" w:space="0" w:color="auto"/>
            </w:tcBorders>
            <w:shd w:val="clear" w:color="auto" w:fill="auto"/>
            <w:vAlign w:val="bottom"/>
          </w:tcPr>
          <w:p w:rsidR="0020514F" w:rsidRPr="0020514F" w:rsidRDefault="0020514F" w:rsidP="006B0E1B">
            <w:pPr>
              <w:spacing w:line="264"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звітності?</w:t>
            </w:r>
          </w:p>
        </w:tc>
        <w:tc>
          <w:tcPr>
            <w:tcW w:w="10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bottom w:val="single" w:sz="8"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820"/>
        </w:trPr>
        <w:tc>
          <w:tcPr>
            <w:tcW w:w="440" w:type="dxa"/>
            <w:tcBorders>
              <w:left w:val="single" w:sz="8" w:space="0" w:color="auto"/>
              <w:bottom w:val="single" w:sz="4" w:space="0" w:color="auto"/>
              <w:right w:val="single" w:sz="8"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3.4.</w:t>
            </w:r>
          </w:p>
        </w:tc>
        <w:tc>
          <w:tcPr>
            <w:tcW w:w="6920" w:type="dxa"/>
            <w:tcBorders>
              <w:bottom w:val="single" w:sz="4" w:space="0" w:color="auto"/>
              <w:right w:val="single" w:sz="8" w:space="0" w:color="auto"/>
            </w:tcBorders>
            <w:shd w:val="clear" w:color="auto" w:fill="auto"/>
            <w:vAlign w:val="bottom"/>
          </w:tcPr>
          <w:p w:rsidR="0020514F" w:rsidRPr="0020514F" w:rsidRDefault="0020514F" w:rsidP="006B0E1B">
            <w:pPr>
              <w:spacing w:line="258"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розробка та впровадження процедур внутрішнього контролю,</w:t>
            </w:r>
          </w:p>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управління ризиками, а також інформаційних технологій у</w:t>
            </w:r>
          </w:p>
          <w:p w:rsidR="0020514F" w:rsidRPr="0020514F" w:rsidRDefault="0020514F" w:rsidP="006B0E1B">
            <w:pPr>
              <w:spacing w:line="0" w:lineRule="atLeast"/>
              <w:ind w:left="120"/>
              <w:rPr>
                <w:rFonts w:ascii="Times New Roman" w:eastAsia="Times New Roman" w:hAnsi="Times New Roman"/>
                <w:sz w:val="24"/>
                <w:lang w:val="uk-UA"/>
              </w:rPr>
            </w:pPr>
            <w:r w:rsidRPr="0020514F">
              <w:rPr>
                <w:rFonts w:ascii="Times New Roman" w:eastAsia="Times New Roman" w:hAnsi="Times New Roman"/>
                <w:sz w:val="24"/>
                <w:lang w:val="uk-UA"/>
              </w:rPr>
              <w:t>фінансовій сфері?</w:t>
            </w:r>
          </w:p>
        </w:tc>
        <w:tc>
          <w:tcPr>
            <w:tcW w:w="1040" w:type="dxa"/>
            <w:tcBorders>
              <w:bottom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bottom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82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w w:val="99"/>
                <w:sz w:val="24"/>
                <w:lang w:val="uk-UA"/>
              </w:rPr>
              <w:t>3.5.</w:t>
            </w:r>
          </w:p>
        </w:tc>
        <w:tc>
          <w:tcPr>
            <w:tcW w:w="692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258"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82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3.6.</w:t>
            </w:r>
          </w:p>
        </w:tc>
        <w:tc>
          <w:tcPr>
            <w:tcW w:w="692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 кадрове забезпечення юридичних осіб у сфері бухгалтерського</w:t>
            </w:r>
          </w:p>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обліку, оподаткування та фінансів, у тому числі послуги з</w:t>
            </w:r>
          </w:p>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надання персоналу, що приймає управлінські рішення та</w:t>
            </w:r>
          </w:p>
          <w:p w:rsidR="0020514F" w:rsidRPr="0020514F" w:rsidRDefault="0020514F" w:rsidP="006B0E1B">
            <w:pPr>
              <w:spacing w:line="0" w:lineRule="atLeast"/>
              <w:ind w:left="100"/>
              <w:rPr>
                <w:rFonts w:ascii="Times New Roman" w:eastAsia="Times New Roman" w:hAnsi="Times New Roman"/>
                <w:sz w:val="24"/>
                <w:lang w:val="uk-UA"/>
              </w:rPr>
            </w:pPr>
            <w:r w:rsidRPr="0020514F">
              <w:rPr>
                <w:rFonts w:ascii="Times New Roman" w:eastAsia="Times New Roman" w:hAnsi="Times New Roman"/>
                <w:sz w:val="24"/>
                <w:lang w:val="uk-UA"/>
              </w:rPr>
              <w:t>відповідає за складання фінансової звітності?</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311"/>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lastRenderedPageBreak/>
              <w:t>3.7.</w:t>
            </w:r>
          </w:p>
        </w:tc>
        <w:tc>
          <w:tcPr>
            <w:tcW w:w="692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258" w:lineRule="exact"/>
              <w:ind w:left="120"/>
              <w:rPr>
                <w:rFonts w:ascii="Times New Roman" w:eastAsia="Times New Roman" w:hAnsi="Times New Roman"/>
                <w:sz w:val="24"/>
                <w:lang w:val="uk-UA"/>
              </w:rPr>
            </w:pPr>
            <w:r w:rsidRPr="0020514F">
              <w:rPr>
                <w:rFonts w:ascii="Times New Roman" w:eastAsia="Times New Roman" w:hAnsi="Times New Roman"/>
                <w:sz w:val="24"/>
                <w:lang w:val="uk-UA"/>
              </w:rPr>
              <w:t>- послуги з оцінки?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2"/>
                <w:lang w:val="uk-UA"/>
              </w:rPr>
            </w:pPr>
          </w:p>
        </w:tc>
      </w:tr>
      <w:tr w:rsidR="0020514F" w:rsidRPr="0020514F" w:rsidTr="006B0E1B">
        <w:trPr>
          <w:trHeight w:val="418"/>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r w:rsidRPr="0020514F">
              <w:rPr>
                <w:rFonts w:ascii="Times New Roman" w:eastAsia="Times New Roman" w:hAnsi="Times New Roman"/>
                <w:sz w:val="24"/>
                <w:lang w:val="uk-UA"/>
              </w:rPr>
              <w:t>3.8.</w:t>
            </w:r>
          </w:p>
        </w:tc>
        <w:tc>
          <w:tcPr>
            <w:tcW w:w="692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 послуги, пов’язані із залученням фінансування, розподілом</w:t>
            </w:r>
          </w:p>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прибутку, розробкою інвестиційної стратегії, окрім послуг з</w:t>
            </w:r>
          </w:p>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надання впевненості щодо фінансової інформації, зокрема</w:t>
            </w:r>
          </w:p>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проведення процедур, необхідних для підготовки, обговорення</w:t>
            </w:r>
          </w:p>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та випуску листів- підтверджень у зв’язку з емісією цінних</w:t>
            </w:r>
          </w:p>
          <w:p w:rsidR="0020514F" w:rsidRPr="0020514F" w:rsidRDefault="0020514F" w:rsidP="006B0E1B">
            <w:pPr>
              <w:spacing w:line="0" w:lineRule="atLeast"/>
              <w:rPr>
                <w:rFonts w:ascii="Times New Roman" w:eastAsia="Times New Roman" w:hAnsi="Times New Roman"/>
                <w:sz w:val="6"/>
                <w:lang w:val="uk-UA"/>
              </w:rPr>
            </w:pPr>
            <w:r w:rsidRPr="0020514F">
              <w:rPr>
                <w:rFonts w:ascii="Times New Roman" w:eastAsia="Times New Roman" w:hAnsi="Times New Roman"/>
                <w:sz w:val="24"/>
                <w:lang w:val="uk-UA"/>
              </w:rPr>
              <w:t>паперів юридичних осіб?</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r>
      <w:tr w:rsidR="0020514F" w:rsidRPr="0020514F" w:rsidTr="006B0E1B">
        <w:trPr>
          <w:trHeight w:val="410"/>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r w:rsidRPr="0020514F">
              <w:rPr>
                <w:rFonts w:ascii="Times New Roman" w:eastAsia="Times New Roman" w:hAnsi="Times New Roman"/>
                <w:sz w:val="24"/>
                <w:lang w:val="uk-UA"/>
              </w:rPr>
              <w:t>4.</w:t>
            </w:r>
          </w:p>
        </w:tc>
        <w:tc>
          <w:tcPr>
            <w:tcW w:w="692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 xml:space="preserve">Винагорода суб’єкта аудиторської діяльності за надання послуг з аудиту фінансової звітності Банку чи </w:t>
            </w:r>
            <w:proofErr w:type="spellStart"/>
            <w:r w:rsidRPr="0020514F">
              <w:rPr>
                <w:rFonts w:ascii="Times New Roman" w:eastAsia="Times New Roman" w:hAnsi="Times New Roman"/>
                <w:sz w:val="24"/>
                <w:lang w:val="uk-UA"/>
              </w:rPr>
              <w:t>залежатиме</w:t>
            </w:r>
            <w:proofErr w:type="spellEnd"/>
            <w:r w:rsidRPr="0020514F">
              <w:rPr>
                <w:rFonts w:ascii="Times New Roman" w:eastAsia="Times New Roman" w:hAnsi="Times New Roman"/>
                <w:sz w:val="24"/>
                <w:lang w:val="uk-UA"/>
              </w:rPr>
              <w:t xml:space="preserve"> від надання Банку неаудиторських послуг, а також договірних відносин або домовленостей, не пов’язаних з наданням послуг з аудиту фінансової звітності?</w:t>
            </w:r>
          </w:p>
          <w:p w:rsidR="0020514F" w:rsidRPr="0020514F" w:rsidRDefault="0020514F" w:rsidP="006B0E1B">
            <w:pPr>
              <w:spacing w:line="0" w:lineRule="atLeast"/>
              <w:rPr>
                <w:rFonts w:ascii="Times New Roman" w:eastAsia="Times New Roman" w:hAnsi="Times New Roman"/>
                <w:sz w:val="6"/>
                <w:lang w:val="uk-UA"/>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r>
      <w:tr w:rsidR="0020514F" w:rsidRPr="0020514F" w:rsidTr="006B0E1B">
        <w:trPr>
          <w:trHeight w:val="558"/>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r w:rsidRPr="0020514F">
              <w:rPr>
                <w:rFonts w:ascii="Times New Roman" w:eastAsia="Times New Roman" w:hAnsi="Times New Roman"/>
                <w:sz w:val="24"/>
                <w:lang w:val="uk-UA"/>
              </w:rPr>
              <w:t>5.</w:t>
            </w:r>
          </w:p>
        </w:tc>
        <w:tc>
          <w:tcPr>
            <w:tcW w:w="692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Закону про аудит?</w:t>
            </w:r>
          </w:p>
          <w:p w:rsidR="0020514F" w:rsidRPr="0020514F" w:rsidRDefault="0020514F" w:rsidP="006B0E1B">
            <w:pPr>
              <w:spacing w:line="0" w:lineRule="atLeast"/>
              <w:rPr>
                <w:rFonts w:ascii="Times New Roman" w:eastAsia="Times New Roman" w:hAnsi="Times New Roman"/>
                <w:sz w:val="6"/>
                <w:lang w:val="uk-UA"/>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r>
      <w:tr w:rsidR="0020514F" w:rsidRPr="0020514F" w:rsidTr="006B0E1B">
        <w:trPr>
          <w:trHeight w:val="458"/>
        </w:trPr>
        <w:tc>
          <w:tcPr>
            <w:tcW w:w="440" w:type="dxa"/>
            <w:tcBorders>
              <w:top w:val="single" w:sz="4" w:space="0" w:color="auto"/>
              <w:left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r w:rsidRPr="0020514F">
              <w:rPr>
                <w:rFonts w:ascii="Times New Roman" w:eastAsia="Times New Roman" w:hAnsi="Times New Roman"/>
                <w:sz w:val="24"/>
                <w:lang w:val="uk-UA"/>
              </w:rPr>
              <w:t>6.</w:t>
            </w:r>
          </w:p>
        </w:tc>
        <w:tc>
          <w:tcPr>
            <w:tcW w:w="6920" w:type="dxa"/>
            <w:tcBorders>
              <w:top w:val="single" w:sz="4" w:space="0" w:color="auto"/>
              <w:right w:val="single" w:sz="8"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Чи перевищує винагорода Банку, його материнській компанії та/або дочірнім підприємствам послуги, не пов’язані з обов’язковим аудитом фінансової звітності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Банку? Якщо так, то надати перелік послуг.</w:t>
            </w:r>
          </w:p>
          <w:p w:rsidR="0020514F" w:rsidRPr="0020514F" w:rsidRDefault="0020514F" w:rsidP="006B0E1B">
            <w:pPr>
              <w:spacing w:line="0" w:lineRule="atLeast"/>
              <w:rPr>
                <w:rFonts w:ascii="Times New Roman" w:eastAsia="Times New Roman" w:hAnsi="Times New Roman"/>
                <w:sz w:val="6"/>
                <w:lang w:val="uk-UA"/>
              </w:rPr>
            </w:pPr>
          </w:p>
        </w:tc>
        <w:tc>
          <w:tcPr>
            <w:tcW w:w="1040" w:type="dxa"/>
            <w:tcBorders>
              <w:top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c>
          <w:tcPr>
            <w:tcW w:w="1240" w:type="dxa"/>
            <w:tcBorders>
              <w:top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r>
      <w:tr w:rsidR="0020514F" w:rsidRPr="0020514F" w:rsidTr="006B0E1B">
        <w:trPr>
          <w:trHeight w:val="458"/>
        </w:trPr>
        <w:tc>
          <w:tcPr>
            <w:tcW w:w="440" w:type="dxa"/>
            <w:tcBorders>
              <w:top w:val="single" w:sz="4" w:space="0" w:color="auto"/>
              <w:left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r w:rsidRPr="0020514F">
              <w:rPr>
                <w:rFonts w:ascii="Times New Roman" w:eastAsia="Times New Roman" w:hAnsi="Times New Roman"/>
                <w:sz w:val="24"/>
                <w:lang w:val="uk-UA"/>
              </w:rPr>
              <w:t>7.</w:t>
            </w:r>
          </w:p>
        </w:tc>
        <w:tc>
          <w:tcPr>
            <w:tcW w:w="6920" w:type="dxa"/>
            <w:tcBorders>
              <w:top w:val="single" w:sz="4" w:space="0" w:color="auto"/>
              <w:right w:val="single" w:sz="8"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p w:rsidR="0020514F" w:rsidRPr="0020514F" w:rsidRDefault="0020514F" w:rsidP="006B0E1B">
            <w:pPr>
              <w:spacing w:line="258" w:lineRule="exact"/>
              <w:ind w:left="20"/>
              <w:rPr>
                <w:rFonts w:ascii="Times New Roman" w:eastAsia="Times New Roman" w:hAnsi="Times New Roman"/>
                <w:sz w:val="24"/>
                <w:lang w:val="uk-UA"/>
              </w:rPr>
            </w:pPr>
          </w:p>
        </w:tc>
        <w:tc>
          <w:tcPr>
            <w:tcW w:w="1040" w:type="dxa"/>
            <w:tcBorders>
              <w:top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c>
          <w:tcPr>
            <w:tcW w:w="1240" w:type="dxa"/>
            <w:tcBorders>
              <w:top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r>
      <w:tr w:rsidR="0020514F" w:rsidRPr="0020514F" w:rsidTr="006B0E1B">
        <w:trPr>
          <w:trHeight w:val="458"/>
        </w:trPr>
        <w:tc>
          <w:tcPr>
            <w:tcW w:w="440" w:type="dxa"/>
            <w:tcBorders>
              <w:top w:val="single" w:sz="4" w:space="0" w:color="auto"/>
              <w:left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24"/>
                <w:lang w:val="uk-UA"/>
              </w:rPr>
            </w:pPr>
            <w:r w:rsidRPr="0020514F">
              <w:rPr>
                <w:rFonts w:ascii="Times New Roman" w:eastAsia="Times New Roman" w:hAnsi="Times New Roman"/>
                <w:sz w:val="24"/>
                <w:lang w:val="uk-UA"/>
              </w:rPr>
              <w:t>8.</w:t>
            </w:r>
          </w:p>
        </w:tc>
        <w:tc>
          <w:tcPr>
            <w:tcW w:w="6920" w:type="dxa"/>
            <w:tcBorders>
              <w:top w:val="single" w:sz="4" w:space="0" w:color="auto"/>
              <w:right w:val="single" w:sz="8" w:space="0" w:color="auto"/>
            </w:tcBorders>
            <w:shd w:val="clear" w:color="auto" w:fill="auto"/>
            <w:vAlign w:val="bottom"/>
          </w:tcPr>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послуги, зазначені у частині четвертій статті 6 Закону про аудит?</w:t>
            </w:r>
          </w:p>
          <w:p w:rsidR="0020514F" w:rsidRPr="0020514F" w:rsidRDefault="0020514F" w:rsidP="006B0E1B">
            <w:pPr>
              <w:spacing w:line="258" w:lineRule="exact"/>
              <w:ind w:left="20"/>
              <w:rPr>
                <w:rFonts w:ascii="Times New Roman" w:eastAsia="Times New Roman" w:hAnsi="Times New Roman"/>
                <w:sz w:val="24"/>
                <w:lang w:val="uk-UA"/>
              </w:rPr>
            </w:pPr>
          </w:p>
          <w:p w:rsidR="0020514F" w:rsidRPr="0020514F" w:rsidRDefault="0020514F" w:rsidP="006B0E1B">
            <w:pPr>
              <w:spacing w:line="258" w:lineRule="exact"/>
              <w:ind w:left="20"/>
              <w:rPr>
                <w:rFonts w:ascii="Times New Roman" w:eastAsia="Times New Roman" w:hAnsi="Times New Roman"/>
                <w:sz w:val="24"/>
                <w:lang w:val="uk-UA"/>
              </w:rPr>
            </w:pPr>
            <w:r w:rsidRPr="0020514F">
              <w:rPr>
                <w:rFonts w:ascii="Times New Roman" w:eastAsia="Times New Roman" w:hAnsi="Times New Roman"/>
                <w:sz w:val="24"/>
                <w:lang w:val="uk-UA"/>
              </w:rPr>
              <w:t>Якщо так, то надати перелік послуг.</w:t>
            </w:r>
          </w:p>
          <w:p w:rsidR="0020514F" w:rsidRPr="0020514F" w:rsidRDefault="0020514F" w:rsidP="006B0E1B">
            <w:pPr>
              <w:spacing w:line="258" w:lineRule="exact"/>
              <w:ind w:left="20"/>
              <w:rPr>
                <w:rFonts w:ascii="Times New Roman" w:eastAsia="Times New Roman" w:hAnsi="Times New Roman"/>
                <w:sz w:val="24"/>
                <w:lang w:val="uk-UA"/>
              </w:rPr>
            </w:pPr>
          </w:p>
        </w:tc>
        <w:tc>
          <w:tcPr>
            <w:tcW w:w="1040" w:type="dxa"/>
            <w:tcBorders>
              <w:top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c>
          <w:tcPr>
            <w:tcW w:w="1240" w:type="dxa"/>
            <w:tcBorders>
              <w:top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r>
      <w:tr w:rsidR="0020514F" w:rsidRPr="0020514F" w:rsidTr="006B0E1B">
        <w:trPr>
          <w:trHeight w:val="72"/>
        </w:trPr>
        <w:tc>
          <w:tcPr>
            <w:tcW w:w="440" w:type="dxa"/>
            <w:tcBorders>
              <w:left w:val="single" w:sz="4" w:space="0" w:color="auto"/>
              <w:bottom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c>
          <w:tcPr>
            <w:tcW w:w="6920" w:type="dxa"/>
            <w:tcBorders>
              <w:bottom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c>
          <w:tcPr>
            <w:tcW w:w="1040" w:type="dxa"/>
            <w:tcBorders>
              <w:bottom w:val="single" w:sz="4" w:space="0" w:color="auto"/>
              <w:right w:val="single" w:sz="8"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c>
          <w:tcPr>
            <w:tcW w:w="1240" w:type="dxa"/>
            <w:tcBorders>
              <w:bottom w:val="single" w:sz="4" w:space="0" w:color="auto"/>
              <w:right w:val="single" w:sz="4" w:space="0" w:color="auto"/>
            </w:tcBorders>
            <w:shd w:val="clear" w:color="auto" w:fill="auto"/>
            <w:vAlign w:val="bottom"/>
          </w:tcPr>
          <w:p w:rsidR="0020514F" w:rsidRPr="0020514F" w:rsidRDefault="0020514F" w:rsidP="006B0E1B">
            <w:pPr>
              <w:spacing w:line="0" w:lineRule="atLeast"/>
              <w:rPr>
                <w:rFonts w:ascii="Times New Roman" w:eastAsia="Times New Roman" w:hAnsi="Times New Roman"/>
                <w:sz w:val="6"/>
                <w:lang w:val="uk-UA"/>
              </w:rPr>
            </w:pPr>
          </w:p>
        </w:tc>
      </w:tr>
    </w:tbl>
    <w:p w:rsidR="0020514F" w:rsidRPr="0020514F" w:rsidRDefault="0020514F" w:rsidP="0020514F">
      <w:pPr>
        <w:spacing w:line="200" w:lineRule="exact"/>
        <w:rPr>
          <w:rFonts w:ascii="Times New Roman" w:eastAsia="Times New Roman" w:hAnsi="Times New Roman"/>
          <w:lang w:val="uk-UA"/>
        </w:rPr>
      </w:pPr>
    </w:p>
    <w:p w:rsidR="0020514F" w:rsidRPr="0020514F" w:rsidRDefault="0020514F" w:rsidP="0020514F">
      <w:pPr>
        <w:spacing w:line="48" w:lineRule="exact"/>
        <w:rPr>
          <w:rFonts w:ascii="Times New Roman" w:eastAsia="Times New Roman" w:hAnsi="Times New Roman"/>
          <w:sz w:val="24"/>
          <w:lang w:val="uk-UA"/>
        </w:rPr>
      </w:pPr>
      <w:bookmarkStart w:id="1" w:name="page16"/>
      <w:bookmarkEnd w:id="1"/>
    </w:p>
    <w:p w:rsidR="0020514F" w:rsidRPr="0020514F" w:rsidRDefault="0020514F" w:rsidP="0020514F">
      <w:pPr>
        <w:spacing w:line="17" w:lineRule="exact"/>
        <w:rPr>
          <w:rFonts w:ascii="Times New Roman" w:eastAsia="Times New Roman" w:hAnsi="Times New Roman"/>
          <w:sz w:val="24"/>
          <w:lang w:val="uk-UA"/>
        </w:rPr>
      </w:pPr>
    </w:p>
    <w:p w:rsidR="0020514F" w:rsidRPr="0020514F" w:rsidRDefault="0020514F" w:rsidP="0020514F">
      <w:pPr>
        <w:spacing w:line="88" w:lineRule="exact"/>
        <w:rPr>
          <w:rFonts w:ascii="Times New Roman" w:eastAsia="Times New Roman" w:hAnsi="Times New Roman"/>
          <w:sz w:val="24"/>
          <w:lang w:val="uk-UA"/>
        </w:rPr>
      </w:pPr>
    </w:p>
    <w:p w:rsidR="0020514F" w:rsidRPr="0020514F" w:rsidRDefault="0020514F" w:rsidP="0020514F">
      <w:pPr>
        <w:spacing w:line="82" w:lineRule="exact"/>
        <w:rPr>
          <w:rFonts w:ascii="Times New Roman" w:eastAsia="Times New Roman" w:hAnsi="Times New Roman"/>
          <w:lang w:val="uk-UA"/>
        </w:rPr>
      </w:pPr>
    </w:p>
    <w:p w:rsidR="0020514F" w:rsidRPr="0020514F" w:rsidRDefault="0020514F" w:rsidP="0020514F">
      <w:pPr>
        <w:spacing w:line="20" w:lineRule="exact"/>
        <w:rPr>
          <w:rFonts w:ascii="Times New Roman" w:eastAsia="Times New Roman" w:hAnsi="Times New Roman"/>
          <w:lang w:val="uk-UA"/>
        </w:rPr>
      </w:pPr>
      <w:r w:rsidRPr="0020514F">
        <w:rPr>
          <w:rFonts w:ascii="Times New Roman" w:eastAsia="Times New Roman" w:hAnsi="Times New Roman"/>
          <w:noProof/>
          <w:sz w:val="24"/>
          <w:lang w:val="uk-UA"/>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ragraph">
                  <wp:posOffset>7620</wp:posOffset>
                </wp:positionV>
                <wp:extent cx="6119495" cy="0"/>
                <wp:effectExtent l="5715" t="10160" r="8890"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7CD9C"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pt" to="48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" strokeweight=".48pt"/>
            </w:pict>
          </mc:Fallback>
        </mc:AlternateContent>
      </w:r>
    </w:p>
    <w:p w:rsidR="0020514F" w:rsidRPr="0020514F" w:rsidRDefault="0020514F" w:rsidP="0020514F">
      <w:pPr>
        <w:spacing w:line="266" w:lineRule="exact"/>
        <w:rPr>
          <w:rFonts w:ascii="Times New Roman" w:eastAsia="Times New Roman" w:hAnsi="Times New Roman"/>
          <w:lang w:val="uk-UA"/>
        </w:rPr>
      </w:pPr>
    </w:p>
    <w:p w:rsidR="0020514F" w:rsidRPr="0020514F" w:rsidRDefault="0020514F" w:rsidP="0020514F">
      <w:pPr>
        <w:spacing w:line="0" w:lineRule="atLeast"/>
        <w:rPr>
          <w:rFonts w:ascii="Times New Roman" w:eastAsia="Times New Roman" w:hAnsi="Times New Roman"/>
          <w:sz w:val="24"/>
          <w:lang w:val="uk-UA"/>
        </w:rPr>
      </w:pPr>
      <w:r w:rsidRPr="0020514F">
        <w:rPr>
          <w:rFonts w:ascii="Times New Roman" w:eastAsia="Times New Roman" w:hAnsi="Times New Roman"/>
          <w:sz w:val="24"/>
          <w:lang w:val="uk-UA"/>
        </w:rPr>
        <w:t>Керівник аудиторської фірми _______________________ (П.І.Б.)</w:t>
      </w:r>
    </w:p>
    <w:p w:rsidR="0020514F" w:rsidRPr="0020514F" w:rsidRDefault="0020514F" w:rsidP="0020514F">
      <w:pPr>
        <w:spacing w:line="0" w:lineRule="atLeast"/>
        <w:ind w:left="2120"/>
        <w:rPr>
          <w:rFonts w:ascii="Times New Roman" w:eastAsia="Times New Roman" w:hAnsi="Times New Roman"/>
          <w:sz w:val="24"/>
          <w:lang w:val="uk-UA"/>
        </w:rPr>
      </w:pPr>
      <w:proofErr w:type="spellStart"/>
      <w:r w:rsidRPr="0020514F">
        <w:rPr>
          <w:rFonts w:ascii="Times New Roman" w:eastAsia="Times New Roman" w:hAnsi="Times New Roman"/>
          <w:sz w:val="24"/>
          <w:lang w:val="uk-UA"/>
        </w:rPr>
        <w:t>м.п</w:t>
      </w:r>
      <w:proofErr w:type="spellEnd"/>
      <w:r w:rsidRPr="0020514F">
        <w:rPr>
          <w:rFonts w:ascii="Times New Roman" w:eastAsia="Times New Roman" w:hAnsi="Times New Roman"/>
          <w:sz w:val="24"/>
          <w:lang w:val="uk-UA"/>
        </w:rPr>
        <w:t>.</w:t>
      </w:r>
    </w:p>
    <w:p w:rsidR="0020514F" w:rsidRPr="0020514F" w:rsidRDefault="0020514F" w:rsidP="0020514F">
      <w:pPr>
        <w:spacing w:line="0" w:lineRule="atLeast"/>
        <w:rPr>
          <w:rFonts w:ascii="Times New Roman" w:eastAsia="Times New Roman" w:hAnsi="Times New Roman"/>
          <w:sz w:val="24"/>
          <w:lang w:val="uk-UA"/>
        </w:rPr>
      </w:pPr>
      <w:r w:rsidRPr="0020514F">
        <w:rPr>
          <w:rFonts w:ascii="Times New Roman" w:eastAsia="Times New Roman" w:hAnsi="Times New Roman"/>
          <w:sz w:val="24"/>
          <w:lang w:val="uk-UA"/>
        </w:rPr>
        <w:t>«__»_______________20__ року</w:t>
      </w:r>
    </w:p>
    <w:p w:rsidR="00AB7ECE" w:rsidRPr="0020514F" w:rsidRDefault="00AB7ECE">
      <w:pPr>
        <w:rPr>
          <w:lang w:val="uk-UA"/>
        </w:rPr>
      </w:pPr>
    </w:p>
    <w:sectPr w:rsidR="00AB7ECE" w:rsidRPr="00205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4F"/>
    <w:rsid w:val="0020514F"/>
    <w:rsid w:val="00AB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DF1DFC-DC74-4CEF-A228-8E639258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4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Невєдров Ігор Іванович</dc:creator>
  <cp:keywords/>
  <dc:description/>
  <cp:lastModifiedBy>Невєдров Ігор Іванович</cp:lastModifiedBy>
  <cp:revision>1</cp:revision>
  <dcterms:created xsi:type="dcterms:W3CDTF">2021-06-29T08:48:00Z</dcterms:created>
  <dcterms:modified xsi:type="dcterms:W3CDTF">2021-06-29T08:50:00Z</dcterms:modified>
</cp:coreProperties>
</file>